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center"/>
        <w:rPr>
          <w:b/>
          <w:bCs/>
        </w:rPr>
      </w:pPr>
      <w:r>
        <w:rPr>
          <w:b/>
          <w:bCs/>
        </w:rPr>
        <w:t>Методика</w:t>
      </w:r>
    </w:p>
    <w:p>
      <w:pPr>
        <w:pStyle w:val="Normal"/>
        <w:jc w:val="center"/>
        <w:rPr>
          <w:b/>
          <w:bCs/>
        </w:rPr>
      </w:pPr>
      <w:r>
        <w:rPr>
          <w:b/>
          <w:bCs/>
        </w:rPr>
        <w:t>распределения иных межбюджетных трансфертов и правила их</w:t>
      </w:r>
    </w:p>
    <w:p>
      <w:pPr>
        <w:pStyle w:val="Normal"/>
        <w:jc w:val="center"/>
        <w:rPr>
          <w:b/>
          <w:bCs/>
        </w:rPr>
      </w:pPr>
      <w:r>
        <w:rPr>
          <w:b/>
          <w:bCs/>
        </w:rPr>
        <w:t>предоставления местным бюджетам муниципальных образований</w:t>
      </w:r>
    </w:p>
    <w:p>
      <w:pPr>
        <w:pStyle w:val="Normal"/>
        <w:jc w:val="center"/>
        <w:rPr>
          <w:b/>
          <w:bCs/>
        </w:rPr>
      </w:pPr>
      <w:r>
        <w:rPr>
          <w:b/>
          <w:bCs/>
        </w:rPr>
        <w:t>Новосибирской области из областного бюджета Новосибирской</w:t>
      </w:r>
    </w:p>
    <w:p>
      <w:pPr>
        <w:pStyle w:val="Normal"/>
        <w:jc w:val="center"/>
        <w:rPr>
          <w:b/>
          <w:bCs/>
        </w:rPr>
      </w:pPr>
      <w:r>
        <w:rPr>
          <w:b/>
          <w:bCs/>
        </w:rPr>
        <w:t>области на ежемесячное денежное вознаграждение за классное</w:t>
      </w:r>
    </w:p>
    <w:p>
      <w:pPr>
        <w:pStyle w:val="Normal"/>
        <w:jc w:val="center"/>
        <w:rPr>
          <w:b/>
          <w:bCs/>
        </w:rPr>
      </w:pPr>
      <w:r>
        <w:rPr>
          <w:b/>
          <w:bCs/>
        </w:rPr>
        <w:t>руководство педагогическим работникам муниципальных</w:t>
      </w:r>
    </w:p>
    <w:p>
      <w:pPr>
        <w:pStyle w:val="Normal"/>
        <w:jc w:val="center"/>
        <w:rPr>
          <w:b/>
          <w:bCs/>
        </w:rPr>
      </w:pPr>
      <w:r>
        <w:rPr>
          <w:b/>
          <w:bCs/>
        </w:rPr>
        <w:t>образовательных организаций Новосибирской области,</w:t>
      </w:r>
    </w:p>
    <w:p>
      <w:pPr>
        <w:pStyle w:val="Normal"/>
        <w:jc w:val="center"/>
        <w:rPr>
          <w:b/>
          <w:bCs/>
        </w:rPr>
      </w:pPr>
      <w:r>
        <w:rPr>
          <w:b/>
          <w:bCs/>
        </w:rPr>
        <w:t>реализующих образовательные программы начального общего,</w:t>
      </w:r>
    </w:p>
    <w:p>
      <w:pPr>
        <w:pStyle w:val="Normal"/>
        <w:jc w:val="center"/>
        <w:rPr>
          <w:b/>
          <w:bCs/>
        </w:rPr>
      </w:pPr>
      <w:r>
        <w:rPr>
          <w:b/>
          <w:bCs/>
        </w:rPr>
        <w:t>основного общего и среднего общего образования, в том числе</w:t>
      </w:r>
    </w:p>
    <w:p>
      <w:pPr>
        <w:pStyle w:val="Normal"/>
        <w:jc w:val="center"/>
        <w:rPr>
          <w:b/>
          <w:bCs/>
        </w:rPr>
      </w:pPr>
      <w:r>
        <w:rPr>
          <w:b/>
          <w:bCs/>
        </w:rPr>
        <w:t>адаптированные основные общеобразовательные программы</w:t>
      </w:r>
    </w:p>
    <w:p>
      <w:pPr>
        <w:pStyle w:val="Normal"/>
        <w:rPr/>
      </w:pPr>
      <w:r>
        <w:rPr/>
      </w:r>
    </w:p>
    <w:p>
      <w:pPr>
        <w:pStyle w:val="Normal"/>
        <w:ind w:firstLine="540"/>
        <w:jc w:val="both"/>
        <w:rPr/>
      </w:pPr>
      <w:r>
        <w:rPr/>
      </w:r>
    </w:p>
    <w:p>
      <w:pPr>
        <w:pStyle w:val="Normal"/>
        <w:ind w:firstLine="540"/>
        <w:jc w:val="both"/>
        <w:rPr/>
      </w:pPr>
      <w:r>
        <w:rPr/>
        <w:t>1. Настоящая Методика определяет процедуру распределения и предоставления иных межбюджетных трансфертов из областного бюджета Новосибирской области (далее - областной бюджет) бюджетам муниципальных образований Новосибирской области на обеспечение выплат ежемесячного денежного вознаграждения за классное руководство педагогическим работникам муниципальных образовательных организаций, реализующих образовательные программы начального общего, основного общего и среднего общего образования, в том числе адаптированные основные общеобразовательные программы (далее - общеобразовательные организации), в рамках реализации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(далее - иные межбюджетные трансферты).</w:t>
      </w:r>
    </w:p>
    <w:p>
      <w:pPr>
        <w:pStyle w:val="Normal"/>
        <w:ind w:firstLine="540"/>
        <w:jc w:val="both"/>
        <w:rPr/>
      </w:pPr>
      <w:r>
        <w:rPr/>
        <w:t>2. Иные межбюджетные трансферты предоставляются на осуществление выплат ежемесячного денежного вознаграждения за классное руководство  педагогическим работникам образовательных организаций из расчета 5 тыс. рублей в месяц в населенных пунктах с численностью населения 100 тыс. человек и более (но не более 2 выплат ежемесячного денежного вознаграждения 1 педагогическому работнику при условии осуществления классного руководства в 2 и более классах) и из расчета 10 тыс. рублей в месяц в населенных пунктах с численностью населения менее 100 тыс. человек (но не более 2 выплат ежемесячного денежного вознаграждения 1 педагогическому работнику при условии осуществления классного руководства в 2 и более классах) с учетом 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(Фонд пенсионного и социального страхования Российской Федерации на страховые взносы, Федеральный фонд обязательного медицинского страхования на обязательное медицинское страхование, а также с учетом страховых взносов на обязательное социальное страхование от несчастных случаев на производстве и профессиональных заболеваний) (далее - страховые взносы в государственные внебюджетные фонды) и повышенного районного коэффициента к заработной плате, установленного постановлением администрации Новосибирской области от 20.11.1995 № 474 «О введении повышенного районного коэффициента к заработной плате на территории Новосибирской области» (далее - районный коэффициент).</w:t>
      </w:r>
    </w:p>
    <w:p>
      <w:pPr>
        <w:pStyle w:val="Normal"/>
        <w:ind w:firstLine="540"/>
        <w:jc w:val="both"/>
        <w:rPr/>
      </w:pPr>
      <w:r>
        <w:rPr/>
        <w:t>3. Иные межбюджетные трансферты предоставляются в пределах сумм, утвержденных законом Новосибирской области об областном бюджете на соответствующий финансовый год и плановый период, в пределах доведенных лимитов бюджетных обязательств, а также в соответствии с Порядком составления и ведения кассового плана, утвержденным приказом министерства финансов и налоговой политики Новосибирской области от 07.12.2017 № 69-НПА, на цели, указанные в пункте 2 настоящей Методики.</w:t>
      </w:r>
    </w:p>
    <w:p>
      <w:pPr>
        <w:pStyle w:val="Normal"/>
        <w:ind w:firstLine="540"/>
        <w:jc w:val="both"/>
        <w:rPr/>
      </w:pPr>
      <w:r>
        <w:rPr/>
        <w:t>4. Распределение иных межбюджетных трансфертов между бюджетами муниципальных образований Новосибирской области устанавливается законом Новосибирской области об областном бюджете на соответствующий финансовый год и плановый период.</w:t>
      </w:r>
    </w:p>
    <w:p>
      <w:pPr>
        <w:pStyle w:val="Normal"/>
        <w:ind w:firstLine="540"/>
        <w:jc w:val="both"/>
        <w:rPr/>
      </w:pPr>
      <w:r>
        <w:rPr/>
        <w:t>5. Критерием отбора для предоставления иных межбюджетных трансфертов является наличие потребности общеобразовательной организации в обеспечении выплат ежемесячного денежного вознаграждения за классное руководство исходя из прогнозируемой численности педагогических работников на начало учебного года.</w:t>
      </w:r>
    </w:p>
    <w:p>
      <w:pPr>
        <w:pStyle w:val="Normal"/>
        <w:ind w:firstLine="540"/>
        <w:jc w:val="both"/>
        <w:rPr/>
      </w:pPr>
      <w:r>
        <w:rPr/>
        <w:t>6. Иные межбюджетные трансферты предоставляются муниципальным образованиям Новосибирской области при условии заключения между министерством образования Новосибирской области (далее - министерство) и органами местного самоуправления муниципальных районов, муниципальных и городских округов Новосибирской области (далее - органы местного самоуправления) соглашения о предоставлении иных межбюджетных трансфертов местным бюджетам из областного бюджета на ежемесячное денежное вознаграждение за классное руководство педагогическим работникам муниципальных общеобразовательных организаций (далее - соглашение) в форме электронного документа с использованием государственной интегрированной системы управления общественными финансами «Электронный бюджет» (далее - ГИИС «Электронный бюджет») в соответствии с типовой формой, утвержденной Министерством финансов Российской Федерации.</w:t>
      </w:r>
    </w:p>
    <w:p>
      <w:pPr>
        <w:pStyle w:val="Normal"/>
        <w:ind w:firstLine="540"/>
        <w:jc w:val="both"/>
        <w:rPr/>
      </w:pPr>
      <w:r>
        <w:rPr/>
        <w:t>7. Для перечисления иных межбюджетных трансфертов органы местного самоуправления направляют в министерство сведения о потребности в средствах иных межбюджетных трансфертов на текущий месяц в электронном виде по форме, предусмотренной в соглашении.</w:t>
      </w:r>
    </w:p>
    <w:p>
      <w:pPr>
        <w:pStyle w:val="Normal"/>
        <w:ind w:firstLine="540"/>
        <w:jc w:val="both"/>
        <w:rPr/>
      </w:pPr>
      <w:r>
        <w:rPr/>
        <w:t>8. Перечисление иных межбюджетных трансфертов осуществляется на счета, открытые территориальным органом Федерального казначейства.</w:t>
      </w:r>
    </w:p>
    <w:p>
      <w:pPr>
        <w:pStyle w:val="Normal"/>
        <w:ind w:firstLine="540"/>
        <w:jc w:val="both"/>
        <w:rPr/>
      </w:pPr>
      <w:r>
        <w:rPr/>
        <w:t>9. Органы местного самоуправления размещают в установленный срок в соответствии с соглашением в ГИИС «Электронный бюджет»:</w:t>
      </w:r>
    </w:p>
    <w:p>
      <w:pPr>
        <w:pStyle w:val="Normal"/>
        <w:ind w:firstLine="540"/>
        <w:jc w:val="both"/>
        <w:rPr/>
      </w:pPr>
      <w:r>
        <w:rPr/>
        <w:t>отчет о расходовании иных межбюджетных трансфертов - ежеквартально, не позднее 5-го числа месяца, следующего за отчетным, по форме, предусмотренной в соглашении;</w:t>
      </w:r>
    </w:p>
    <w:p>
      <w:pPr>
        <w:pStyle w:val="Normal"/>
        <w:ind w:firstLine="540"/>
        <w:jc w:val="both"/>
        <w:rPr/>
      </w:pPr>
      <w:r>
        <w:rPr/>
        <w:t>отчет о достижении значения результата предоставления иных межбюджетных трансфертов - ежеквартально, не позднее 5-го числа месяца, следующего за отчетным, по форме, предусмотренной в соглашении;</w:t>
      </w:r>
    </w:p>
    <w:p>
      <w:pPr>
        <w:pStyle w:val="Normal"/>
        <w:ind w:firstLine="540"/>
        <w:jc w:val="both"/>
        <w:rPr/>
      </w:pPr>
      <w:r>
        <w:rPr/>
        <w:t>отчеты о расходовании иных межбюджетных трансфертов и достижении значения результата предоставления иных межбюджетных трансфертов, установленного в соглашении, - ежегодно, не позднее 15 января года, следующего за отчетным, по формам, установленным соглашением.</w:t>
      </w:r>
    </w:p>
    <w:p>
      <w:pPr>
        <w:pStyle w:val="Normal"/>
        <w:ind w:firstLine="540"/>
        <w:jc w:val="both"/>
        <w:rPr/>
      </w:pPr>
      <w:r>
        <w:rPr/>
        <w:t>10. Результатом предоставления иных межбюджетных трансфертов является доля педагогических работников общеобразовательных организаций, получивших ежемесячное денежное вознаграждение за классное руководство из расчета 5 тыс. руб. в месяц в населенных пунктах с численностью населения 100 тыс. человек и более и из расчета 10 тыс. рублей в месяц в населенных пунктах с численностью населения менее 100 тыс. человек с учетом страховых взносов в государственные внебюджетные фонды, а также районного коэффициента, в общей численности педагогических работников такой категории.</w:t>
      </w:r>
    </w:p>
    <w:p>
      <w:pPr>
        <w:pStyle w:val="Normal"/>
        <w:ind w:firstLine="540"/>
        <w:jc w:val="both"/>
        <w:rPr/>
      </w:pPr>
      <w:r>
        <w:rPr/>
        <w:t>11. Размер иных межбюджетных трансфертов i-му муниципальному образованию Новосибирской области (T1i) определяется по формуле:</w:t>
      </w:r>
    </w:p>
    <w:p>
      <w:pPr>
        <w:pStyle w:val="ConsPlusNormal"/>
        <w:jc w:val="center"/>
        <w:rPr/>
      </w:pPr>
      <w:r>
        <w:rPr/>
      </w:r>
    </w:p>
    <w:p>
      <w:pPr>
        <w:pStyle w:val="ConsPlusNormal"/>
        <w:jc w:val="center"/>
        <w:rPr>
          <w:rFonts w:ascii="Times New Roman" w:hAnsi="Times New Roman" w:cs="Times New Roman"/>
          <w:sz w:val="28"/>
          <w:szCs w:val="28"/>
        </w:rPr>
      </w:pPr>
      <w:r>
        <w:rPr>
          <w:rFonts w:cs="Times New Roman" w:ascii="Times New Roman" w:hAnsi="Times New Roman"/>
          <w:sz w:val="28"/>
          <w:szCs w:val="28"/>
        </w:rPr>
        <w:t>T1</w:t>
      </w:r>
      <w:r>
        <w:rPr>
          <w:rFonts w:cs="Times New Roman" w:ascii="Times New Roman" w:hAnsi="Times New Roman"/>
          <w:sz w:val="28"/>
          <w:szCs w:val="28"/>
          <w:vertAlign w:val="subscript"/>
        </w:rPr>
        <w:t>i</w:t>
      </w:r>
      <w:r>
        <w:rPr>
          <w:rFonts w:cs="Times New Roman" w:ascii="Times New Roman" w:hAnsi="Times New Roman"/>
          <w:sz w:val="28"/>
          <w:szCs w:val="28"/>
        </w:rPr>
        <w:t xml:space="preserve"> = T</w:t>
      </w:r>
      <w:r>
        <w:rPr>
          <w:rFonts w:cs="Times New Roman" w:ascii="Times New Roman" w:hAnsi="Times New Roman"/>
          <w:sz w:val="28"/>
          <w:szCs w:val="28"/>
          <w:vertAlign w:val="subscript"/>
        </w:rPr>
        <w:t>i1</w:t>
      </w:r>
      <w:r>
        <w:rPr>
          <w:rFonts w:cs="Times New Roman" w:ascii="Times New Roman" w:hAnsi="Times New Roman"/>
          <w:sz w:val="28"/>
          <w:szCs w:val="28"/>
        </w:rPr>
        <w:t xml:space="preserve"> + T</w:t>
      </w:r>
      <w:r>
        <w:rPr>
          <w:rFonts w:cs="Times New Roman" w:ascii="Times New Roman" w:hAnsi="Times New Roman"/>
          <w:sz w:val="28"/>
          <w:szCs w:val="28"/>
          <w:vertAlign w:val="subscript"/>
        </w:rPr>
        <w:t>i2</w:t>
      </w:r>
      <w:r>
        <w:rPr>
          <w:rFonts w:cs="Times New Roman" w:ascii="Times New Roman" w:hAnsi="Times New Roman"/>
          <w:sz w:val="28"/>
          <w:szCs w:val="28"/>
        </w:rPr>
        <w:t>,</w:t>
      </w:r>
    </w:p>
    <w:p>
      <w:pPr>
        <w:pStyle w:val="ConsPlusNormal"/>
        <w:jc w:val="center"/>
        <w:rPr/>
      </w:pPr>
      <w:r>
        <w:rPr/>
      </w:r>
    </w:p>
    <w:p>
      <w:pPr>
        <w:pStyle w:val="ConsPlusNormal"/>
        <w:ind w:firstLine="540"/>
        <w:jc w:val="both"/>
        <w:rPr>
          <w:rFonts w:ascii="Times New Roman" w:hAnsi="Times New Roman" w:cs="Times New Roman"/>
          <w:sz w:val="28"/>
          <w:szCs w:val="28"/>
        </w:rPr>
      </w:pPr>
      <w:r>
        <w:rPr>
          <w:rFonts w:cs="Times New Roman" w:ascii="Times New Roman" w:hAnsi="Times New Roman"/>
          <w:sz w:val="28"/>
          <w:szCs w:val="28"/>
        </w:rPr>
        <w:t>где:</w:t>
      </w:r>
    </w:p>
    <w:p>
      <w:pPr>
        <w:pStyle w:val="ConsPlusNormal"/>
        <w:spacing w:before="220" w:after="0"/>
        <w:ind w:firstLine="540"/>
        <w:jc w:val="both"/>
        <w:rPr>
          <w:rFonts w:ascii="Times New Roman" w:hAnsi="Times New Roman" w:cs="Times New Roman"/>
          <w:sz w:val="28"/>
          <w:szCs w:val="28"/>
        </w:rPr>
      </w:pPr>
      <w:r>
        <w:rPr>
          <w:rFonts w:cs="Times New Roman" w:ascii="Times New Roman" w:hAnsi="Times New Roman"/>
          <w:sz w:val="28"/>
          <w:szCs w:val="28"/>
        </w:rPr>
        <w:t>T</w:t>
      </w:r>
      <w:r>
        <w:rPr>
          <w:rFonts w:cs="Times New Roman" w:ascii="Times New Roman" w:hAnsi="Times New Roman"/>
          <w:sz w:val="28"/>
          <w:szCs w:val="28"/>
          <w:vertAlign w:val="subscript"/>
        </w:rPr>
        <w:t>i1</w:t>
      </w:r>
      <w:r>
        <w:rPr>
          <w:rFonts w:cs="Times New Roman" w:ascii="Times New Roman" w:hAnsi="Times New Roman"/>
          <w:sz w:val="28"/>
          <w:szCs w:val="28"/>
        </w:rPr>
        <w:t xml:space="preserve"> - объем иного межбюджетного трансферта из расчета 5 тыс. рублей в месяц в населенных пунктах с численностью населения 100 тыс. человек и более;</w:t>
      </w:r>
    </w:p>
    <w:p>
      <w:pPr>
        <w:pStyle w:val="ConsPlusNormal"/>
        <w:spacing w:before="220" w:after="0"/>
        <w:ind w:firstLine="540"/>
        <w:jc w:val="both"/>
        <w:rPr>
          <w:rFonts w:ascii="Times New Roman" w:hAnsi="Times New Roman" w:cs="Times New Roman"/>
          <w:sz w:val="28"/>
          <w:szCs w:val="28"/>
        </w:rPr>
      </w:pPr>
      <w:r>
        <w:rPr>
          <w:rFonts w:cs="Times New Roman" w:ascii="Times New Roman" w:hAnsi="Times New Roman"/>
          <w:sz w:val="28"/>
          <w:szCs w:val="28"/>
        </w:rPr>
        <w:t>T</w:t>
      </w:r>
      <w:r>
        <w:rPr>
          <w:rFonts w:cs="Times New Roman" w:ascii="Times New Roman" w:hAnsi="Times New Roman"/>
          <w:sz w:val="28"/>
          <w:szCs w:val="28"/>
          <w:vertAlign w:val="subscript"/>
        </w:rPr>
        <w:t>i2</w:t>
      </w:r>
      <w:r>
        <w:rPr>
          <w:rFonts w:cs="Times New Roman" w:ascii="Times New Roman" w:hAnsi="Times New Roman"/>
          <w:sz w:val="28"/>
          <w:szCs w:val="28"/>
        </w:rPr>
        <w:t xml:space="preserve"> - объем иного межбюджетного трансферта из расчета 10 тыс. рублей в месяц в населенных пунктах с численностью населения менее 100 тыс. человек."</w:t>
      </w:r>
    </w:p>
    <w:p>
      <w:pPr>
        <w:pStyle w:val="ConsPlusNormal"/>
        <w:spacing w:before="220" w:after="0"/>
        <w:ind w:firstLine="540"/>
        <w:jc w:val="both"/>
        <w:rPr>
          <w:rFonts w:ascii="Times New Roman" w:hAnsi="Times New Roman" w:cs="Times New Roman"/>
          <w:sz w:val="28"/>
          <w:szCs w:val="28"/>
        </w:rPr>
      </w:pPr>
      <w:r>
        <w:rPr>
          <w:rFonts w:cs="Times New Roman" w:ascii="Times New Roman" w:hAnsi="Times New Roman"/>
          <w:sz w:val="28"/>
          <w:szCs w:val="28"/>
        </w:rPr>
        <w:t>11(1). Объем иного межбюджетного трансферта из расчета 5 тыс. рублей в месяц в населенных пунктах с численностью населения 100 тыс. человек и более (T</w:t>
      </w:r>
      <w:r>
        <w:rPr>
          <w:rFonts w:cs="Times New Roman" w:ascii="Times New Roman" w:hAnsi="Times New Roman"/>
          <w:sz w:val="28"/>
          <w:szCs w:val="28"/>
          <w:vertAlign w:val="subscript"/>
        </w:rPr>
        <w:t>i1</w:t>
      </w:r>
      <w:r>
        <w:rPr>
          <w:rFonts w:cs="Times New Roman" w:ascii="Times New Roman" w:hAnsi="Times New Roman"/>
          <w:sz w:val="28"/>
          <w:szCs w:val="28"/>
        </w:rPr>
        <w:t>) определяется по формуле:</w:t>
      </w:r>
    </w:p>
    <w:p>
      <w:pPr>
        <w:pStyle w:val="ConsPlusNormal"/>
        <w:jc w:val="center"/>
        <w:rPr>
          <w:rFonts w:ascii="Times New Roman" w:hAnsi="Times New Roman" w:cs="Times New Roman"/>
          <w:sz w:val="28"/>
          <w:szCs w:val="28"/>
        </w:rPr>
      </w:pPr>
      <w:r>
        <w:rPr>
          <w:rFonts w:cs="Times New Roman" w:ascii="Times New Roman" w:hAnsi="Times New Roman"/>
          <w:sz w:val="28"/>
          <w:szCs w:val="28"/>
        </w:rPr>
      </w:r>
    </w:p>
    <w:p>
      <w:pPr>
        <w:pStyle w:val="Normal"/>
        <w:ind w:firstLine="540"/>
        <w:jc w:val="center"/>
        <w:rPr/>
      </w:pPr>
      <w:r>
        <w:rPr>
          <w:lang w:val="en-US"/>
        </w:rPr>
        <w:t>Ti</w:t>
      </w:r>
      <w:r>
        <w:rPr/>
        <w:t xml:space="preserve">₁ = </w:t>
      </w:r>
      <w:r>
        <w:rPr>
          <w:lang w:val="en-US"/>
        </w:rPr>
        <w:t>T</w:t>
      </w:r>
      <w:r>
        <w:rPr/>
        <w:t xml:space="preserve">кр₁ </w:t>
      </w:r>
      <w:r>
        <w:rPr>
          <w:lang w:val="en-US"/>
        </w:rPr>
        <w:t>x</w:t>
      </w:r>
      <w:r>
        <w:rPr/>
        <w:t xml:space="preserve"> Рк₁ </w:t>
      </w:r>
      <w:r>
        <w:rPr>
          <w:lang w:val="en-US"/>
        </w:rPr>
        <w:t>x</w:t>
      </w:r>
      <w:r>
        <w:rPr/>
        <w:t xml:space="preserve"> </w:t>
      </w:r>
      <w:r>
        <w:rPr>
          <w:lang w:val="en-US"/>
        </w:rPr>
        <w:t>H</w:t>
      </w:r>
      <w:r>
        <w:rPr/>
        <w:t>1</w:t>
      </w:r>
      <w:r>
        <w:rPr>
          <w:lang w:val="en-US"/>
        </w:rPr>
        <w:t>i</w:t>
      </w:r>
      <w:r>
        <w:rPr/>
        <w:t xml:space="preserve">₁ </w:t>
      </w:r>
      <w:r>
        <w:rPr>
          <w:lang w:val="en-US"/>
        </w:rPr>
        <w:t>x</w:t>
      </w:r>
      <w:r>
        <w:rPr/>
        <w:t xml:space="preserve"> </w:t>
      </w:r>
      <w:r>
        <w:rPr>
          <w:lang w:val="en-US"/>
        </w:rPr>
        <w:t>Nm</w:t>
      </w:r>
      <w:r>
        <w:rPr/>
        <w:t xml:space="preserve">₁ </w:t>
      </w:r>
      <w:r>
        <w:rPr>
          <w:lang w:val="en-US"/>
        </w:rPr>
        <w:t>x</w:t>
      </w:r>
      <w:r>
        <w:rPr/>
        <w:t xml:space="preserve"> </w:t>
      </w:r>
      <w:r>
        <w:rPr>
          <w:lang w:val="en-US"/>
        </w:rPr>
        <w:t>S</w:t>
      </w:r>
      <w:r>
        <w:rPr/>
        <w:t>взн₁, где:</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spacing w:before="220" w:after="0"/>
        <w:ind w:firstLine="540"/>
        <w:jc w:val="both"/>
        <w:rPr>
          <w:rFonts w:ascii="Times New Roman" w:hAnsi="Times New Roman" w:cs="Times New Roman"/>
          <w:sz w:val="28"/>
          <w:szCs w:val="28"/>
        </w:rPr>
      </w:pPr>
      <w:r>
        <w:rPr>
          <w:rFonts w:cs="Times New Roman" w:ascii="Times New Roman" w:hAnsi="Times New Roman"/>
          <w:sz w:val="28"/>
          <w:szCs w:val="28"/>
        </w:rPr>
        <w:t>T</w:t>
      </w:r>
      <w:r>
        <w:rPr>
          <w:rFonts w:cs="Times New Roman" w:ascii="Times New Roman" w:hAnsi="Times New Roman"/>
          <w:sz w:val="28"/>
          <w:szCs w:val="28"/>
          <w:vertAlign w:val="subscript"/>
        </w:rPr>
        <w:t>кр1</w:t>
      </w:r>
      <w:r>
        <w:rPr>
          <w:rFonts w:cs="Times New Roman" w:ascii="Times New Roman" w:hAnsi="Times New Roman"/>
          <w:sz w:val="28"/>
          <w:szCs w:val="28"/>
        </w:rPr>
        <w:t xml:space="preserve"> - 5 тыс. рублей - размер выплаты ежемесячного денежного вознаграждения за классное руководство педагогическим работникам образовательных организаций в населенных пунктах с численностью населения 100 тыс. человек и более (но не более двух выплат ежемесячного денежного вознаграждения одному педагогическому работнику при осуществлении классного руководства в двух и более классах);</w:t>
      </w:r>
    </w:p>
    <w:p>
      <w:pPr>
        <w:pStyle w:val="ConsPlusNormal"/>
        <w:spacing w:before="220" w:after="0"/>
        <w:ind w:firstLine="540"/>
        <w:jc w:val="both"/>
        <w:rPr>
          <w:rFonts w:ascii="Times New Roman" w:hAnsi="Times New Roman" w:cs="Times New Roman"/>
          <w:sz w:val="28"/>
          <w:szCs w:val="28"/>
        </w:rPr>
      </w:pPr>
      <w:r>
        <w:rPr>
          <w:rFonts w:cs="Times New Roman" w:ascii="Times New Roman" w:hAnsi="Times New Roman"/>
          <w:sz w:val="28"/>
          <w:szCs w:val="28"/>
        </w:rPr>
        <w:t>Р</w:t>
      </w:r>
      <w:r>
        <w:rPr>
          <w:rFonts w:cs="Times New Roman" w:ascii="Times New Roman" w:hAnsi="Times New Roman"/>
          <w:sz w:val="28"/>
          <w:szCs w:val="28"/>
          <w:vertAlign w:val="subscript"/>
        </w:rPr>
        <w:t>к₁</w:t>
      </w:r>
      <w:r>
        <w:rPr>
          <w:rFonts w:cs="Times New Roman" w:ascii="Times New Roman" w:hAnsi="Times New Roman"/>
          <w:sz w:val="28"/>
          <w:szCs w:val="28"/>
        </w:rPr>
        <w:t xml:space="preserve"> - районный коэффициент;</w:t>
      </w:r>
    </w:p>
    <w:p>
      <w:pPr>
        <w:pStyle w:val="Normal"/>
        <w:ind w:firstLine="540"/>
        <w:jc w:val="both"/>
        <w:rPr/>
      </w:pPr>
      <w:r>
        <w:rPr/>
        <w:t>H1i₁ - заявленная i-м муниципальным образованием Новосибирской области прогнозируемая численность педагогических работников общеобразовательных организаций, получающих вознаграждение за классное руководство;</w:t>
      </w:r>
    </w:p>
    <w:p>
      <w:pPr>
        <w:pStyle w:val="Normal"/>
        <w:ind w:firstLine="540"/>
        <w:jc w:val="both"/>
        <w:rPr/>
      </w:pPr>
      <w:r>
        <w:rPr/>
      </w:r>
    </w:p>
    <w:p>
      <w:pPr>
        <w:pStyle w:val="Normal"/>
        <w:ind w:firstLine="540"/>
        <w:jc w:val="both"/>
        <w:rPr/>
      </w:pPr>
      <w:r>
        <w:rPr/>
        <w:t>Nm₁ - количество месяцев в году, в которые выплачивается ежемесячное денежное вознаграждение педагогическим работникам общеобразовательных организаций за классное руководство;</w:t>
      </w:r>
    </w:p>
    <w:p>
      <w:pPr>
        <w:pStyle w:val="Normal"/>
        <w:ind w:firstLine="540"/>
        <w:jc w:val="both"/>
        <w:rPr/>
      </w:pPr>
      <w:r>
        <w:rPr/>
      </w:r>
    </w:p>
    <w:p>
      <w:pPr>
        <w:pStyle w:val="Normal"/>
        <w:ind w:firstLine="540"/>
        <w:jc w:val="both"/>
        <w:rPr/>
      </w:pPr>
      <w:r>
        <w:rPr/>
        <w:t>Sвзн₁ - страховые взносы в государственные внебюджетные фонды.</w:t>
      </w:r>
    </w:p>
    <w:p>
      <w:pPr>
        <w:pStyle w:val="ConsPlusNormal"/>
        <w:spacing w:before="220" w:after="0"/>
        <w:ind w:firstLine="540"/>
        <w:jc w:val="both"/>
        <w:rPr>
          <w:rFonts w:ascii="Times New Roman" w:hAnsi="Times New Roman" w:cs="Times New Roman"/>
          <w:sz w:val="28"/>
          <w:szCs w:val="28"/>
        </w:rPr>
      </w:pPr>
      <w:r>
        <w:rPr>
          <w:rFonts w:cs="Times New Roman" w:ascii="Times New Roman" w:hAnsi="Times New Roman"/>
          <w:sz w:val="28"/>
          <w:szCs w:val="28"/>
        </w:rPr>
        <w:t>11(2). Объем иного межбюджетного трансферта из расчета 10 тыс. рублей в месяц в населенных пунктах с численностью населения менее 100 тыс. человек (T</w:t>
      </w:r>
      <w:r>
        <w:rPr>
          <w:rFonts w:cs="Times New Roman" w:ascii="Times New Roman" w:hAnsi="Times New Roman"/>
          <w:sz w:val="28"/>
          <w:szCs w:val="28"/>
          <w:vertAlign w:val="subscript"/>
        </w:rPr>
        <w:t>i2</w:t>
      </w:r>
      <w:r>
        <w:rPr>
          <w:rFonts w:cs="Times New Roman" w:ascii="Times New Roman" w:hAnsi="Times New Roman"/>
          <w:sz w:val="28"/>
          <w:szCs w:val="28"/>
        </w:rPr>
        <w:t>) определяется по формуле:</w:t>
      </w:r>
    </w:p>
    <w:p>
      <w:pPr>
        <w:pStyle w:val="ConsPlusNormal"/>
        <w:jc w:val="center"/>
        <w:rPr/>
      </w:pPr>
      <w:r>
        <w:rPr/>
      </w:r>
    </w:p>
    <w:p>
      <w:pPr>
        <w:pStyle w:val="Normal"/>
        <w:ind w:firstLine="540"/>
        <w:jc w:val="both"/>
        <w:rPr/>
      </w:pPr>
      <w:r>
        <w:rPr>
          <w:lang w:val="en-US"/>
        </w:rPr>
        <w:t>Ti</w:t>
      </w:r>
      <w:r>
        <w:rPr/>
        <w:t xml:space="preserve">₂ = </w:t>
      </w:r>
      <w:r>
        <w:rPr>
          <w:lang w:val="en-US"/>
        </w:rPr>
        <w:t>T</w:t>
      </w:r>
      <w:r>
        <w:rPr/>
        <w:t xml:space="preserve">кр₂ </w:t>
      </w:r>
      <w:r>
        <w:rPr>
          <w:lang w:val="en-US"/>
        </w:rPr>
        <w:t>x</w:t>
      </w:r>
      <w:r>
        <w:rPr/>
        <w:t xml:space="preserve"> Рк₂ </w:t>
      </w:r>
      <w:r>
        <w:rPr>
          <w:lang w:val="en-US"/>
        </w:rPr>
        <w:t>x</w:t>
      </w:r>
      <w:r>
        <w:rPr/>
        <w:t xml:space="preserve"> </w:t>
      </w:r>
      <w:r>
        <w:rPr>
          <w:lang w:val="en-US"/>
        </w:rPr>
        <w:t>H</w:t>
      </w:r>
      <w:r>
        <w:rPr/>
        <w:t>1</w:t>
      </w:r>
      <w:r>
        <w:rPr>
          <w:lang w:val="en-US"/>
        </w:rPr>
        <w:t>i</w:t>
      </w:r>
      <w:r>
        <w:rPr/>
        <w:t xml:space="preserve">₂ </w:t>
      </w:r>
      <w:r>
        <w:rPr>
          <w:lang w:val="en-US"/>
        </w:rPr>
        <w:t>x</w:t>
      </w:r>
      <w:r>
        <w:rPr/>
        <w:t xml:space="preserve"> </w:t>
      </w:r>
      <w:r>
        <w:rPr>
          <w:lang w:val="en-US"/>
        </w:rPr>
        <w:t>Nm</w:t>
      </w:r>
      <w:r>
        <w:rPr/>
        <w:t xml:space="preserve">₂ </w:t>
      </w:r>
      <w:r>
        <w:rPr>
          <w:lang w:val="en-US"/>
        </w:rPr>
        <w:t>x</w:t>
      </w:r>
      <w:r>
        <w:rPr/>
        <w:t xml:space="preserve"> </w:t>
      </w:r>
      <w:r>
        <w:rPr>
          <w:lang w:val="en-US"/>
        </w:rPr>
        <w:t>S</w:t>
      </w:r>
      <w:r>
        <w:rPr/>
        <w:t>взн₂, где:</w:t>
      </w:r>
    </w:p>
    <w:p>
      <w:pPr>
        <w:pStyle w:val="ConsPlusNormal"/>
        <w:jc w:val="both"/>
        <w:rPr>
          <w:rFonts w:ascii="Times New Roman" w:hAnsi="Times New Roman" w:cs="Times New Roman"/>
          <w:sz w:val="28"/>
          <w:szCs w:val="28"/>
        </w:rPr>
      </w:pPr>
      <w:r>
        <w:rPr>
          <w:rFonts w:cs="Times New Roman" w:ascii="Times New Roman" w:hAnsi="Times New Roman"/>
          <w:sz w:val="28"/>
          <w:szCs w:val="28"/>
        </w:rPr>
      </w:r>
    </w:p>
    <w:p>
      <w:pPr>
        <w:pStyle w:val="ConsPlusNormal"/>
        <w:spacing w:before="220" w:after="0"/>
        <w:ind w:firstLine="540"/>
        <w:jc w:val="both"/>
        <w:rPr/>
      </w:pPr>
      <w:r>
        <w:rPr>
          <w:rFonts w:cs="Times New Roman" w:ascii="Times New Roman" w:hAnsi="Times New Roman"/>
          <w:sz w:val="28"/>
          <w:szCs w:val="28"/>
        </w:rPr>
        <w:t>T</w:t>
      </w:r>
      <w:r>
        <w:rPr>
          <w:rFonts w:cs="Times New Roman" w:ascii="Times New Roman" w:hAnsi="Times New Roman"/>
          <w:sz w:val="28"/>
          <w:szCs w:val="28"/>
          <w:vertAlign w:val="subscript"/>
        </w:rPr>
        <w:t>кр2</w:t>
      </w:r>
      <w:r>
        <w:rPr>
          <w:rFonts w:cs="Times New Roman" w:ascii="Times New Roman" w:hAnsi="Times New Roman"/>
          <w:sz w:val="28"/>
          <w:szCs w:val="28"/>
        </w:rPr>
        <w:t xml:space="preserve"> - 10 тыс. рублей - размер выплаты ежемесячного денежного вознаграждения за классное руководство педагогическим работникам образовательных организаций в населенных пунктах с численностью населения менее 100 тыс. человек (но не более двух выплат ежемесячного денежного вознаграждения одному педагогическому работнику при осуществлении классного руководства в двух и более классах);</w:t>
      </w:r>
    </w:p>
    <w:p>
      <w:pPr>
        <w:pStyle w:val="ConsPlusNormal"/>
        <w:spacing w:before="220" w:after="0"/>
        <w:ind w:firstLine="540"/>
        <w:jc w:val="both"/>
        <w:rPr>
          <w:rFonts w:ascii="Times New Roman" w:hAnsi="Times New Roman" w:cs="Times New Roman"/>
          <w:sz w:val="28"/>
          <w:szCs w:val="28"/>
        </w:rPr>
      </w:pPr>
      <w:r>
        <w:rPr>
          <w:rFonts w:cs="Times New Roman" w:ascii="Times New Roman" w:hAnsi="Times New Roman"/>
          <w:sz w:val="28"/>
          <w:szCs w:val="28"/>
        </w:rPr>
        <w:t>Р</w:t>
      </w:r>
      <w:r>
        <w:rPr>
          <w:rFonts w:cs="Times New Roman" w:ascii="Times New Roman" w:hAnsi="Times New Roman"/>
          <w:sz w:val="28"/>
          <w:szCs w:val="28"/>
          <w:vertAlign w:val="subscript"/>
        </w:rPr>
        <w:t>к₂</w:t>
      </w:r>
      <w:r>
        <w:rPr>
          <w:rFonts w:cs="Times New Roman" w:ascii="Times New Roman" w:hAnsi="Times New Roman"/>
          <w:sz w:val="28"/>
          <w:szCs w:val="28"/>
        </w:rPr>
        <w:t xml:space="preserve"> - районный коэффициент;</w:t>
      </w:r>
    </w:p>
    <w:p>
      <w:pPr>
        <w:pStyle w:val="ConsPlusNormal"/>
        <w:spacing w:before="220" w:after="0"/>
        <w:ind w:firstLine="540"/>
        <w:jc w:val="both"/>
        <w:rPr>
          <w:rFonts w:ascii="Times New Roman" w:hAnsi="Times New Roman" w:cs="Times New Roman"/>
          <w:sz w:val="28"/>
          <w:szCs w:val="28"/>
        </w:rPr>
      </w:pPr>
      <w:r>
        <w:rPr>
          <w:rFonts w:cs="Times New Roman" w:ascii="Times New Roman" w:hAnsi="Times New Roman"/>
          <w:sz w:val="28"/>
          <w:szCs w:val="28"/>
        </w:rPr>
      </w:r>
    </w:p>
    <w:p>
      <w:pPr>
        <w:pStyle w:val="Normal"/>
        <w:ind w:firstLine="540"/>
        <w:jc w:val="both"/>
        <w:rPr/>
      </w:pPr>
      <w:r>
        <w:rPr/>
        <w:t>H1i₂ - заявленная i-м муниципальным образованием Новосибирской области прогнозируемая численность педагогических работников общеобразовательных организаций, получающих вознаграждение за классное руководство;</w:t>
      </w:r>
    </w:p>
    <w:p>
      <w:pPr>
        <w:pStyle w:val="Normal"/>
        <w:ind w:firstLine="540"/>
        <w:jc w:val="both"/>
        <w:rPr/>
      </w:pPr>
      <w:r>
        <w:rPr/>
      </w:r>
    </w:p>
    <w:p>
      <w:pPr>
        <w:pStyle w:val="Normal"/>
        <w:ind w:firstLine="540"/>
        <w:jc w:val="both"/>
        <w:rPr/>
      </w:pPr>
      <w:r>
        <w:rPr/>
        <w:t>Nm₂ - количество месяцев в году, в которые выплачивается ежемесячное денежное вознаграждение педагогическим работникам общеобразовательных организаций за классное руководство;</w:t>
      </w:r>
    </w:p>
    <w:p>
      <w:pPr>
        <w:pStyle w:val="Normal"/>
        <w:ind w:firstLine="540"/>
        <w:jc w:val="both"/>
        <w:rPr/>
      </w:pPr>
      <w:r>
        <w:rPr/>
      </w:r>
    </w:p>
    <w:p>
      <w:pPr>
        <w:pStyle w:val="Normal"/>
        <w:ind w:firstLine="540"/>
        <w:jc w:val="both"/>
        <w:rPr/>
      </w:pPr>
      <w:r>
        <w:rPr/>
        <w:t>Sвзн₂ - страховые взносы в государственные внебюджетные фонды.</w:t>
      </w:r>
    </w:p>
    <w:p>
      <w:pPr>
        <w:pStyle w:val="Normal"/>
        <w:jc w:val="both"/>
        <w:rPr/>
      </w:pPr>
      <w:r>
        <w:rPr/>
      </w:r>
    </w:p>
    <w:p>
      <w:pPr>
        <w:pStyle w:val="Normal"/>
        <w:ind w:firstLine="540"/>
        <w:jc w:val="both"/>
        <w:rPr/>
      </w:pPr>
      <w:r>
        <w:rPr/>
        <w:t>12. Оценка эффективности предоставления иных межбюджетных трансфертов осуществляется министерством на основании сравнения достигнутого значения результата предоставления иных межбюджетных трансфертов органом местного самоуправления и установленного соглашением значения такого результата, как доля педагогических работников общеобразовательных организаций, получивших вознаграждение за классное руководство, в общей численности педагогических работников такой категории.</w:t>
      </w:r>
    </w:p>
    <w:p>
      <w:pPr>
        <w:pStyle w:val="Normal"/>
        <w:ind w:firstLine="540"/>
        <w:jc w:val="both"/>
        <w:rPr/>
      </w:pPr>
      <w:r>
        <w:rPr/>
        <w:t>13. Министерство и орган государственного финансового контроля осуществляют обязательную проверку соблюдения настоящей Методики органами местного самоуправления.</w:t>
      </w:r>
    </w:p>
    <w:p>
      <w:pPr>
        <w:pStyle w:val="Normal"/>
        <w:ind w:firstLine="540"/>
        <w:jc w:val="both"/>
        <w:rPr/>
      </w:pPr>
      <w:r>
        <w:rPr/>
        <w:t>14. В случае если муниципальным образованием Новосибирской области по состоянию на 31 декабря года предоставления иных межбюджетных трансфертов допущено недостижение значения результата предоставления иных межбюджетных трансфертов, установленного соглашением, размер средств, подлежащих возврату из местного бюджета в областной бюджет Новосибирской области до 1 апреля года, следующего за годом предоставления иных межбюджетных трансфертов (Т2i), определяется по формуле:</w:t>
      </w:r>
    </w:p>
    <w:p>
      <w:pPr>
        <w:pStyle w:val="Normal"/>
        <w:ind w:firstLine="540"/>
        <w:jc w:val="both"/>
        <w:rPr/>
      </w:pPr>
      <w:r>
        <w:rPr/>
      </w:r>
    </w:p>
    <w:p>
      <w:pPr>
        <w:pStyle w:val="Normal"/>
        <w:ind w:firstLine="540"/>
        <w:jc w:val="both"/>
        <w:rPr>
          <w:lang w:val="en-US"/>
        </w:rPr>
      </w:pPr>
      <w:r>
        <w:rPr>
          <w:lang w:val="en-US"/>
        </w:rPr>
        <w:t>T2i = Ti - (T</w:t>
      </w:r>
      <w:r>
        <w:rPr/>
        <w:t>кр</w:t>
      </w:r>
      <w:r>
        <w:rPr>
          <w:lang w:val="en-US"/>
        </w:rPr>
        <w:t xml:space="preserve"> x </w:t>
      </w:r>
      <w:r>
        <w:rPr/>
        <w:t>Рк</w:t>
      </w:r>
      <w:r>
        <w:rPr>
          <w:lang w:val="en-US"/>
        </w:rPr>
        <w:t xml:space="preserve"> x H2i x Nm x S</w:t>
      </w:r>
      <w:r>
        <w:rPr/>
        <w:t>взн</w:t>
      </w:r>
      <w:r>
        <w:rPr>
          <w:lang w:val="en-US"/>
        </w:rPr>
        <w:t xml:space="preserve">), </w:t>
      </w:r>
      <w:r>
        <w:rPr/>
        <w:t>где</w:t>
      </w:r>
      <w:r>
        <w:rPr>
          <w:lang w:val="en-US"/>
        </w:rPr>
        <w:t>:</w:t>
      </w:r>
    </w:p>
    <w:p>
      <w:pPr>
        <w:pStyle w:val="Normal"/>
        <w:ind w:firstLine="540"/>
        <w:jc w:val="both"/>
        <w:rPr>
          <w:lang w:val="en-US"/>
        </w:rPr>
      </w:pPr>
      <w:r>
        <w:rPr>
          <w:lang w:val="en-US"/>
        </w:rPr>
      </w:r>
    </w:p>
    <w:p>
      <w:pPr>
        <w:pStyle w:val="Normal"/>
        <w:ind w:firstLine="540"/>
        <w:jc w:val="both"/>
        <w:rPr/>
      </w:pPr>
      <w:r>
        <w:rPr/>
        <w:t>H2i - фактическая численность педагогических работников общеобразовательных организаций i-го муниципального образования Новосибирской области, получивших вознаграждение за классное руководство.</w:t>
      </w:r>
    </w:p>
    <w:p>
      <w:pPr>
        <w:pStyle w:val="Normal"/>
        <w:ind w:firstLine="540"/>
        <w:jc w:val="both"/>
        <w:rPr/>
      </w:pPr>
      <w:r>
        <w:rPr/>
        <w:t>15. В случае нецелевого использования иного межбюджетного трансферта органом местного самоуправления к нему применяются бюджетные меры принуждения, предусмотренные бюджетным законодательством Российской Федерации.</w:t>
      </w:r>
    </w:p>
    <w:p>
      <w:pPr>
        <w:pStyle w:val="Normal"/>
        <w:ind w:firstLine="540"/>
        <w:jc w:val="both"/>
        <w:rPr/>
      </w:pPr>
      <w:r>
        <w:rPr/>
        <w:t>16. Ответственность за достоверность представляемых в министерство информации и документов, предусмотренных настоящей Методикой, возлагается на органы местного самоуправления муниципальных образований Новосибирской области.</w:t>
      </w:r>
    </w:p>
    <w:p>
      <w:pPr>
        <w:pStyle w:val="Normal"/>
        <w:ind w:firstLine="540"/>
        <w:jc w:val="both"/>
        <w:rPr>
          <w:rFonts w:ascii="Calibri" w:hAnsi="Calibri" w:cs="Calibri"/>
          <w:sz w:val="22"/>
          <w:szCs w:val="22"/>
        </w:rPr>
      </w:pPr>
      <w:r>
        <w:rPr/>
        <w:t>17. Контроль за целевым использованием межбюджетных трансфертов осуществляется министерством и органами государственного финансового контроля Новосибирской области в соответствии с бюджетным законодательством Российской Федерации.</w:t>
      </w:r>
    </w:p>
    <w:p>
      <w:pPr>
        <w:pStyle w:val="ConsPlusNormal"/>
        <w:jc w:val="both"/>
        <w:rPr>
          <w:rFonts w:ascii="Times New Roman" w:hAnsi="Times New Roman" w:cs="Times New Roman"/>
          <w:sz w:val="26"/>
          <w:szCs w:val="26"/>
        </w:rPr>
      </w:pPr>
      <w:r>
        <w:rPr>
          <w:rFonts w:cs="Times New Roman" w:ascii="Times New Roman" w:hAnsi="Times New Roman"/>
          <w:sz w:val="26"/>
          <w:szCs w:val="26"/>
        </w:rPr>
      </w:r>
      <w:bookmarkStart w:id="0" w:name="_GoBack"/>
      <w:bookmarkStart w:id="1" w:name="_GoBack"/>
      <w:bookmarkEnd w:id="1"/>
    </w:p>
    <w:p>
      <w:pPr>
        <w:pStyle w:val="ConsPlusNormal"/>
        <w:jc w:val="both"/>
        <w:rPr>
          <w:rFonts w:ascii="Times New Roman" w:hAnsi="Times New Roman" w:cs="Times New Roman"/>
          <w:sz w:val="26"/>
          <w:szCs w:val="26"/>
        </w:rPr>
      </w:pPr>
      <w:r>
        <w:rPr>
          <w:rFonts w:cs="Times New Roman" w:ascii="Times New Roman" w:hAnsi="Times New Roman"/>
          <w:sz w:val="26"/>
          <w:szCs w:val="26"/>
        </w:rPr>
      </w:r>
    </w:p>
    <w:p>
      <w:pPr>
        <w:pStyle w:val="ConsPlusNormal"/>
        <w:jc w:val="both"/>
        <w:rPr>
          <w:rFonts w:ascii="Times New Roman" w:hAnsi="Times New Roman" w:eastAsia="Calibri" w:cs="Times New Roman" w:eastAsiaTheme="minorHAnsi"/>
          <w:sz w:val="28"/>
          <w:szCs w:val="28"/>
          <w:lang w:eastAsia="en-US"/>
        </w:rPr>
      </w:pPr>
      <w:r>
        <w:rPr>
          <w:rFonts w:eastAsia="Calibri" w:cs="Times New Roman" w:ascii="Times New Roman" w:hAnsi="Times New Roman" w:eastAsiaTheme="minorHAnsi"/>
          <w:sz w:val="28"/>
          <w:szCs w:val="28"/>
          <w:lang w:eastAsia="en-US"/>
        </w:rPr>
        <w:t xml:space="preserve">И.о. министра образования </w:t>
      </w:r>
    </w:p>
    <w:p>
      <w:pPr>
        <w:pStyle w:val="ConsPlusNormal"/>
        <w:jc w:val="both"/>
        <w:rPr>
          <w:rFonts w:ascii="Times New Roman" w:hAnsi="Times New Roman" w:eastAsia="Calibri" w:cs="Times New Roman" w:eastAsiaTheme="minorHAnsi"/>
          <w:sz w:val="28"/>
          <w:szCs w:val="28"/>
          <w:lang w:eastAsia="en-US"/>
        </w:rPr>
      </w:pPr>
      <w:r>
        <w:rPr>
          <w:rFonts w:eastAsia="Calibri" w:cs="Times New Roman" w:ascii="Times New Roman" w:hAnsi="Times New Roman" w:eastAsiaTheme="minorHAnsi"/>
          <w:sz w:val="28"/>
          <w:szCs w:val="28"/>
          <w:lang w:eastAsia="en-US"/>
        </w:rPr>
        <w:t>Новосибирской области                                                            Ю.И. Савостьянов</w:t>
      </w:r>
    </w:p>
    <w:sectPr>
      <w:type w:val="nextPage"/>
      <w:pgSz w:w="11906" w:h="16838"/>
      <w:pgMar w:left="1701" w:right="850" w:gutter="0" w:header="0" w:top="1134"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Segoe UI">
    <w:charset w:val="01"/>
    <w:family w:val="swiss"/>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20"/>
  <w:defaultTabStop w:val="708"/>
  <w:autoHyphenation w:val="true"/>
  <w:hyphenationZone w:val="0"/>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f73a3f"/>
    <w:pPr>
      <w:widowControl/>
      <w:suppressAutoHyphens w:val="true"/>
      <w:bidi w:val="0"/>
      <w:spacing w:lineRule="auto" w:line="240" w:before="0" w:after="0"/>
      <w:jc w:val="left"/>
    </w:pPr>
    <w:rPr>
      <w:rFonts w:ascii="Times New Roman" w:hAnsi="Times New Roman" w:eastAsia="Calibri" w:cs="Times New Roman" w:eastAsiaTheme="minorHAnsi"/>
      <w:color w:val="auto"/>
      <w:kern w:val="0"/>
      <w:sz w:val="28"/>
      <w:szCs w:val="28"/>
      <w:lang w:val="ru-RU" w:eastAsia="en-US" w:bidi="ar-SA"/>
    </w:rPr>
  </w:style>
  <w:style w:type="character" w:styleId="DefaultParagraphFont" w:default="1">
    <w:name w:val="Default Paragraph Font"/>
    <w:uiPriority w:val="1"/>
    <w:semiHidden/>
    <w:unhideWhenUsed/>
    <w:qFormat/>
    <w:rPr/>
  </w:style>
  <w:style w:type="character" w:styleId="Style14" w:customStyle="1">
    <w:name w:val="Текст выноски Знак"/>
    <w:basedOn w:val="DefaultParagraphFont"/>
    <w:link w:val="BalloonText"/>
    <w:uiPriority w:val="99"/>
    <w:semiHidden/>
    <w:qFormat/>
    <w:rsid w:val="00776c52"/>
    <w:rPr>
      <w:rFonts w:ascii="Segoe UI" w:hAnsi="Segoe UI" w:cs="Segoe UI"/>
      <w:sz w:val="18"/>
      <w:szCs w:val="18"/>
    </w:rPr>
  </w:style>
  <w:style w:type="paragraph" w:styleId="Style15">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style>
  <w:style w:type="paragraph" w:styleId="Caption">
    <w:name w:val="caption"/>
    <w:basedOn w:val="Normal"/>
    <w:qFormat/>
    <w:pPr>
      <w:suppressLineNumbers/>
      <w:spacing w:before="120" w:after="120"/>
    </w:pPr>
    <w:rPr>
      <w:i/>
      <w:iCs/>
      <w:sz w:val="24"/>
      <w:szCs w:val="24"/>
    </w:rPr>
  </w:style>
  <w:style w:type="paragraph" w:styleId="Style16">
    <w:name w:val="Указатель"/>
    <w:basedOn w:val="Normal"/>
    <w:qFormat/>
    <w:pPr>
      <w:suppressLineNumbers/>
    </w:pPr>
    <w:rPr>
      <w:rFonts w:cs="Noto Sans"/>
    </w:rPr>
  </w:style>
  <w:style w:type="paragraph" w:styleId="user">
    <w:name w:val="Заголовок (user)"/>
    <w:basedOn w:val="Normal"/>
    <w:next w:val="BodyText"/>
    <w:qFormat/>
    <w:pPr>
      <w:keepNext w:val="true"/>
      <w:spacing w:before="240" w:after="120"/>
    </w:pPr>
    <w:rPr>
      <w:rFonts w:ascii="Liberation Sans" w:hAnsi="Liberation Sans" w:eastAsia="Arial Unicode MS" w:cs="Arial Unicode MS"/>
      <w:sz w:val="28"/>
      <w:szCs w:val="28"/>
    </w:rPr>
  </w:style>
  <w:style w:type="paragraph" w:styleId="user1">
    <w:name w:val="Указатель (user)"/>
    <w:basedOn w:val="Normal"/>
    <w:qFormat/>
    <w:pPr>
      <w:suppressLineNumbers/>
    </w:pPr>
    <w:rPr/>
  </w:style>
  <w:style w:type="paragraph" w:styleId="ConsPlusNormal" w:customStyle="1">
    <w:name w:val="ConsPlusNormal"/>
    <w:qFormat/>
    <w:rsid w:val="009e77c5"/>
    <w:pPr>
      <w:widowControl w:val="false"/>
      <w:suppressAutoHyphens w:val="true"/>
      <w:bidi w:val="0"/>
      <w:spacing w:lineRule="auto" w:line="240"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Title" w:customStyle="1">
    <w:name w:val="ConsPlusTitle"/>
    <w:qFormat/>
    <w:rsid w:val="009e77c5"/>
    <w:pPr>
      <w:widowControl w:val="false"/>
      <w:suppressAutoHyphens w:val="true"/>
      <w:bidi w:val="0"/>
      <w:spacing w:lineRule="auto" w:line="240" w:before="0" w:after="0"/>
      <w:jc w:val="left"/>
    </w:pPr>
    <w:rPr>
      <w:rFonts w:ascii="Calibri" w:hAnsi="Calibri" w:eastAsia="Times New Roman" w:cs="Calibri" w:asciiTheme="minorHAnsi" w:hAnsiTheme="minorHAnsi"/>
      <w:b/>
      <w:color w:val="auto"/>
      <w:kern w:val="0"/>
      <w:sz w:val="22"/>
      <w:szCs w:val="20"/>
      <w:lang w:val="ru-RU" w:eastAsia="ru-RU" w:bidi="ar-SA"/>
    </w:rPr>
  </w:style>
  <w:style w:type="paragraph" w:styleId="ListParagraph">
    <w:name w:val="List Paragraph"/>
    <w:basedOn w:val="Normal"/>
    <w:uiPriority w:val="34"/>
    <w:qFormat/>
    <w:rsid w:val="00095393"/>
    <w:pPr>
      <w:spacing w:before="0" w:after="0"/>
      <w:ind w:left="720"/>
      <w:contextualSpacing/>
    </w:pPr>
    <w:rPr/>
  </w:style>
  <w:style w:type="paragraph" w:styleId="BalloonText">
    <w:name w:val="Balloon Text"/>
    <w:basedOn w:val="Normal"/>
    <w:link w:val="Style14"/>
    <w:uiPriority w:val="99"/>
    <w:semiHidden/>
    <w:unhideWhenUsed/>
    <w:qFormat/>
    <w:rsid w:val="00776c52"/>
    <w:pPr/>
    <w:rPr>
      <w:rFonts w:ascii="Segoe UI" w:hAnsi="Segoe UI" w:cs="Segoe UI"/>
      <w:sz w:val="18"/>
      <w:szCs w:val="18"/>
    </w:rPr>
  </w:style>
  <w:style w:type="numbering" w:styleId="Style17"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81</TotalTime>
  <Application>LibreOffice/24.8.7.2$Linux_X86_64 LibreOffice_project/480$Build-2</Application>
  <AppVersion>15.0000</AppVersion>
  <Pages>5</Pages>
  <Words>1333</Words>
  <Characters>9825</Characters>
  <CharactersWithSpaces>11145</CharactersWithSpaces>
  <Paragraphs>52</Paragraphs>
  <Company>АГНОиПНО</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2023-10-16T06:39:00Z</dcterms:created>
  <dc:creator>Шварцкопп Валентин Валерьевич</dc:creator>
  <dc:description/>
  <dc:language>ru-RU</dc:language>
  <cp:lastModifiedBy/>
  <cp:lastPrinted>2025-10-16T11:38:33Z</cp:lastPrinted>
  <dcterms:modified xsi:type="dcterms:W3CDTF">2025-10-16T11:40:11Z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